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8 389</w:t>
            </w:r>
            <w:r w:rsidR="001B241A" w:rsidRPr="001B241A">
              <w:rPr>
                <w:b/>
                <w:szCs w:val="24"/>
                <w:lang w:eastAsia="lt-LT"/>
              </w:rPr>
              <w:t xml:space="preserve">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 xml:space="preserve">8 389 </w:t>
            </w:r>
            <w:r w:rsidR="001B241A" w:rsidRPr="001B241A">
              <w:rPr>
                <w:b/>
                <w:szCs w:val="24"/>
                <w:lang w:eastAsia="lt-LT"/>
              </w:rPr>
              <w:t>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F234CD">
            <w:pPr>
              <w:rPr>
                <w:b/>
                <w:szCs w:val="24"/>
                <w:lang w:eastAsia="lt-LT"/>
              </w:rPr>
            </w:pPr>
            <w:r>
              <w:rPr>
                <w:b/>
                <w:szCs w:val="24"/>
                <w:lang w:eastAsia="lt-LT"/>
              </w:rPr>
              <w:t>Anykščių atliekų priėmimo ir laikino saugojimo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C2423C">
            <w:pPr>
              <w:jc w:val="center"/>
              <w:rPr>
                <w:b/>
                <w:szCs w:val="24"/>
                <w:lang w:eastAsia="lt-LT"/>
              </w:rPr>
            </w:pPr>
            <w:r>
              <w:rPr>
                <w:b/>
                <w:szCs w:val="24"/>
                <w:lang w:eastAsia="lt-LT"/>
              </w:rPr>
              <w:t>Anykščių</w:t>
            </w:r>
            <w:r w:rsidR="00B90621" w:rsidRPr="00B90621">
              <w:rPr>
                <w:b/>
                <w:szCs w:val="24"/>
                <w:lang w:eastAsia="lt-LT"/>
              </w:rPr>
              <w:t xml:space="preserve"> </w:t>
            </w:r>
            <w:r w:rsidR="00C2423C">
              <w:rPr>
                <w:b/>
                <w:szCs w:val="24"/>
                <w:lang w:eastAsia="lt-LT"/>
              </w:rPr>
              <w:t>m.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Anykščių</w:t>
            </w:r>
            <w:r w:rsidR="00C2423C">
              <w:rPr>
                <w:b/>
                <w:szCs w:val="24"/>
                <w:lang w:eastAsia="lt-LT"/>
              </w:rPr>
              <w:t xml:space="preserve"> m.</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Vairuotojų</w:t>
            </w:r>
            <w:r w:rsidR="00C2423C">
              <w:rPr>
                <w:b/>
                <w:szCs w:val="24"/>
                <w:lang w:eastAsia="lt-LT"/>
              </w:rPr>
              <w:t xml:space="preserve"> g.</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18</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sidRPr="00F2418E">
              <w:rPr>
                <w:b/>
                <w:szCs w:val="24"/>
                <w:lang w:eastAsia="lt-LT"/>
              </w:rPr>
              <w:t>8 614 844883</w:t>
            </w:r>
          </w:p>
        </w:tc>
        <w:tc>
          <w:tcPr>
            <w:tcW w:w="1416"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Pr>
                <w:b/>
                <w:szCs w:val="24"/>
                <w:lang w:eastAsia="lt-LT"/>
              </w:rPr>
              <w:t>8 5 2308553</w:t>
            </w:r>
          </w:p>
        </w:tc>
        <w:tc>
          <w:tcPr>
            <w:tcW w:w="2784"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val="en-US" w:eastAsia="lt-LT"/>
              </w:rPr>
            </w:pPr>
            <w:r w:rsidRPr="00F2418E">
              <w:rPr>
                <w:b/>
                <w:szCs w:val="24"/>
                <w:lang w:eastAsia="lt-LT"/>
              </w:rPr>
              <w:t>laurynas</w:t>
            </w:r>
            <w:r w:rsidRPr="00F2418E">
              <w:rPr>
                <w:b/>
                <w:szCs w:val="24"/>
                <w:lang w:val="en-US" w:eastAsia="lt-LT"/>
              </w:rPr>
              <w:t>@</w:t>
            </w:r>
            <w:proofErr w:type="spellStart"/>
            <w:r w:rsidRPr="00F2418E">
              <w:rPr>
                <w:b/>
                <w:szCs w:val="24"/>
                <w:lang w:val="en-US" w:eastAsia="lt-LT"/>
              </w:rPr>
              <w:t>ekometrija</w:t>
            </w:r>
            <w:proofErr w:type="spellEnd"/>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302A3E">
        <w:rPr>
          <w:b/>
          <w:szCs w:val="24"/>
          <w:lang w:eastAsia="lt-LT"/>
        </w:rPr>
        <w:t>20</w:t>
      </w:r>
      <w:r w:rsidR="00670601" w:rsidRPr="00B90621">
        <w:rPr>
          <w:b/>
          <w:szCs w:val="24"/>
          <w:lang w:eastAsia="lt-LT"/>
        </w:rPr>
        <w:t xml:space="preserve"> metų I</w:t>
      </w:r>
      <w:r w:rsidR="00963998">
        <w:rPr>
          <w:b/>
          <w:szCs w:val="24"/>
          <w:lang w:eastAsia="lt-LT"/>
        </w:rPr>
        <w:t>I</w:t>
      </w:r>
      <w:r w:rsidR="005A6FB4">
        <w:rPr>
          <w:b/>
          <w:szCs w:val="24"/>
          <w:lang w:eastAsia="lt-LT"/>
        </w:rPr>
        <w:t>I</w:t>
      </w:r>
      <w:r w:rsidR="00C05DC4">
        <w:rPr>
          <w:b/>
          <w:szCs w:val="24"/>
          <w:lang w:eastAsia="lt-LT"/>
        </w:rPr>
        <w:t xml:space="preserve"> </w:t>
      </w:r>
      <w:r w:rsidR="00670601" w:rsidRPr="00B90621">
        <w:rPr>
          <w:b/>
          <w:szCs w:val="24"/>
          <w:lang w:eastAsia="lt-LT"/>
        </w:rPr>
        <w:t>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b/>
          <w:bCs/>
          <w:kern w:val="2"/>
          <w:sz w:val="18"/>
          <w:szCs w:val="18"/>
        </w:rPr>
      </w:pPr>
      <w:r w:rsidRPr="00F234CD">
        <w:rPr>
          <w:rFonts w:eastAsia="DejaVu Sans"/>
          <w:kern w:val="2"/>
          <w:sz w:val="18"/>
          <w:szCs w:val="18"/>
          <w:vertAlign w:val="superscript"/>
        </w:rPr>
        <w:t>1</w:t>
      </w:r>
      <w:r w:rsidRPr="00F234CD">
        <w:rPr>
          <w:rFonts w:eastAsia="DejaVu Sans"/>
          <w:kern w:val="2"/>
          <w:sz w:val="18"/>
          <w:szCs w:val="18"/>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Pr="00F234CD" w:rsidRDefault="00921673" w:rsidP="006F4245">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ši skiltis nepildoma.</w:t>
      </w:r>
    </w:p>
    <w:p w:rsidR="00921673" w:rsidRPr="00F234CD" w:rsidRDefault="00921673" w:rsidP="00921673">
      <w:pPr>
        <w:widowControl w:val="0"/>
        <w:suppressAutoHyphens/>
        <w:ind w:firstLine="567"/>
        <w:jc w:val="both"/>
        <w:rPr>
          <w:kern w:val="2"/>
          <w:sz w:val="18"/>
          <w:szCs w:val="18"/>
        </w:rPr>
      </w:pPr>
      <w:r w:rsidRPr="00F234CD">
        <w:rPr>
          <w:rFonts w:eastAsia="DejaVu Sans"/>
          <w:kern w:val="2"/>
          <w:sz w:val="18"/>
          <w:szCs w:val="18"/>
          <w:vertAlign w:val="superscript"/>
        </w:rPr>
        <w:t>2</w:t>
      </w:r>
      <w:r w:rsidRPr="00F234CD">
        <w:rPr>
          <w:rFonts w:eastAsia="DejaVu Sans"/>
          <w:kern w:val="2"/>
          <w:sz w:val="18"/>
          <w:szCs w:val="18"/>
        </w:rPr>
        <w:t xml:space="preserve"> </w:t>
      </w:r>
      <w:r w:rsidRPr="00F234CD">
        <w:rPr>
          <w:kern w:val="2"/>
          <w:sz w:val="18"/>
          <w:szCs w:val="18"/>
          <w:lang w:eastAsia="hi-IN" w:bidi="hi-IN"/>
        </w:rPr>
        <w:t>Išmetamų į aplinkos orą atskirų teršalų kiekis gali būti pateikiamas arba mg/Nm</w:t>
      </w:r>
      <w:r w:rsidRPr="00F234CD">
        <w:rPr>
          <w:kern w:val="2"/>
          <w:sz w:val="18"/>
          <w:szCs w:val="18"/>
          <w:vertAlign w:val="superscript"/>
          <w:lang w:eastAsia="hi-IN" w:bidi="hi-IN"/>
        </w:rPr>
        <w:t>3</w:t>
      </w:r>
      <w:r w:rsidRPr="00F234CD">
        <w:rPr>
          <w:kern w:val="2"/>
          <w:sz w:val="18"/>
          <w:szCs w:val="18"/>
          <w:lang w:eastAsia="hi-IN" w:bidi="hi-IN"/>
        </w:rPr>
        <w:t>, arba g/s.</w:t>
      </w:r>
      <w:r w:rsidRPr="00F234CD">
        <w:rPr>
          <w:rFonts w:eastAsia="DejaVu Sans"/>
          <w:color w:val="000000"/>
          <w:kern w:val="2"/>
          <w:sz w:val="18"/>
          <w:szCs w:val="18"/>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Pr="00F234CD" w:rsidRDefault="00921673" w:rsidP="00921673">
      <w:pPr>
        <w:widowControl w:val="0"/>
        <w:suppressAutoHyphens/>
        <w:ind w:firstLine="567"/>
        <w:jc w:val="both"/>
        <w:rPr>
          <w:rFonts w:eastAsia="DejaVu Sans"/>
          <w:kern w:val="2"/>
          <w:sz w:val="18"/>
          <w:szCs w:val="18"/>
          <w:lang w:eastAsia="hi-IN" w:bidi="hi-IN"/>
        </w:rPr>
      </w:pPr>
      <w:r w:rsidRPr="00F234CD">
        <w:rPr>
          <w:kern w:val="2"/>
          <w:sz w:val="18"/>
          <w:szCs w:val="18"/>
          <w:vertAlign w:val="superscript"/>
        </w:rPr>
        <w:t>3</w:t>
      </w:r>
      <w:r w:rsidRPr="00F234CD">
        <w:rPr>
          <w:kern w:val="2"/>
          <w:sz w:val="18"/>
          <w:szCs w:val="18"/>
        </w:rPr>
        <w:t xml:space="preserve"> </w:t>
      </w:r>
      <w:r w:rsidRPr="00F234CD">
        <w:rPr>
          <w:rFonts w:eastAsia="DejaVu Sans"/>
          <w:kern w:val="2"/>
          <w:sz w:val="18"/>
          <w:szCs w:val="18"/>
          <w:lang w:eastAsia="hi-IN" w:bidi="hi-IN"/>
        </w:rPr>
        <w:t>Detalus aprašymas bet kokių nestandartinių sąlygų, galėjusių turėti įtakos matavimų rezultatams (pvz., dujų degimo temperatūra, įrangos paleidimas, apkrova, ir kt.).</w:t>
      </w:r>
    </w:p>
    <w:p w:rsidR="00921673" w:rsidRPr="00F234CD" w:rsidRDefault="00921673" w:rsidP="00921673">
      <w:pPr>
        <w:widowControl w:val="0"/>
        <w:suppressAutoHyphens/>
        <w:ind w:firstLine="567"/>
        <w:jc w:val="both"/>
        <w:rPr>
          <w:kern w:val="2"/>
          <w:sz w:val="18"/>
          <w:szCs w:val="18"/>
        </w:rPr>
      </w:pPr>
      <w:r w:rsidRPr="00F234CD">
        <w:rPr>
          <w:kern w:val="2"/>
          <w:sz w:val="18"/>
          <w:szCs w:val="18"/>
          <w:vertAlign w:val="superscript"/>
          <w:lang w:eastAsia="hi-IN" w:bidi="hi-IN"/>
        </w:rPr>
        <w:t>4</w:t>
      </w:r>
      <w:r w:rsidRPr="00F234CD">
        <w:rPr>
          <w:rFonts w:eastAsia="DejaVu Sans"/>
          <w:kern w:val="2"/>
          <w:sz w:val="18"/>
          <w:szCs w:val="18"/>
        </w:rPr>
        <w:t xml:space="preserve"> Nurodomas galiojantis teisės aktas,</w:t>
      </w:r>
      <w:r w:rsidRPr="00F234CD">
        <w:rPr>
          <w:kern w:val="2"/>
          <w:sz w:val="18"/>
          <w:szCs w:val="18"/>
        </w:rPr>
        <w:t xml:space="preserve"> </w:t>
      </w:r>
      <w:r w:rsidRPr="00F234CD">
        <w:rPr>
          <w:rFonts w:eastAsia="DejaVu Sans"/>
          <w:kern w:val="2"/>
          <w:sz w:val="18"/>
          <w:szCs w:val="18"/>
        </w:rPr>
        <w:t>kuriuo nustatytas matavimo metodas, galiojan</w:t>
      </w:r>
      <w:r w:rsidRPr="00F234CD">
        <w:rPr>
          <w:kern w:val="2"/>
          <w:sz w:val="18"/>
          <w:szCs w:val="18"/>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921673" w:rsidRPr="00E364CB" w:rsidRDefault="00921673" w:rsidP="00E364CB">
      <w:pPr>
        <w:widowControl w:val="0"/>
        <w:suppressAutoHyphens/>
        <w:ind w:firstLine="540"/>
        <w:jc w:val="center"/>
        <w:rPr>
          <w:b/>
          <w:kern w:val="2"/>
        </w:rPr>
      </w:pPr>
      <w:r>
        <w:rPr>
          <w:rFonts w:eastAsia="DejaVu Sans"/>
          <w:b/>
          <w:bCs/>
          <w:kern w:val="2"/>
        </w:rPr>
        <w:lastRenderedPageBreak/>
        <w:t xml:space="preserve">IV. ŪKIO SUBJEKTŲ </w:t>
      </w:r>
      <w:r>
        <w:rPr>
          <w:b/>
          <w:kern w:val="2"/>
        </w:rPr>
        <w:t>TARŠOS ŠALTINIŲ IŠLEIDŽIAMŲ TERŠALŲ MONITORINGAS</w:t>
      </w:r>
    </w:p>
    <w:p w:rsidR="00921673" w:rsidRPr="00E364CB"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9"/>
        <w:gridCol w:w="302"/>
        <w:gridCol w:w="528"/>
        <w:gridCol w:w="763"/>
        <w:gridCol w:w="889"/>
        <w:gridCol w:w="7"/>
        <w:gridCol w:w="793"/>
        <w:gridCol w:w="851"/>
        <w:gridCol w:w="850"/>
        <w:gridCol w:w="709"/>
        <w:gridCol w:w="1701"/>
        <w:gridCol w:w="992"/>
        <w:gridCol w:w="1418"/>
        <w:gridCol w:w="1701"/>
        <w:gridCol w:w="1134"/>
        <w:gridCol w:w="849"/>
      </w:tblGrid>
      <w:tr w:rsidR="00921673" w:rsidTr="003329DB">
        <w:trPr>
          <w:cantSplit/>
          <w:trHeight w:val="20"/>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3329DB">
        <w:trPr>
          <w:cantSplit/>
          <w:trHeight w:val="20"/>
        </w:trPr>
        <w:tc>
          <w:tcPr>
            <w:tcW w:w="2407" w:type="dxa"/>
            <w:gridSpan w:val="3"/>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E364CB">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414FC5">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673" w:rsidRDefault="00414FC5">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w:t>
            </w:r>
            <w:r w:rsidR="00921673">
              <w:rPr>
                <w:rFonts w:eastAsia="DejaVu Sans"/>
                <w:bCs/>
                <w:color w:val="000000"/>
                <w:kern w:val="2"/>
                <w:sz w:val="20"/>
                <w:lang w:eastAsia="hi-IN" w:bidi="hi-IN"/>
              </w:rPr>
              <w:t>avadi</w:t>
            </w:r>
            <w:r>
              <w:rPr>
                <w:rFonts w:eastAsia="DejaVu Sans"/>
                <w:bCs/>
                <w:color w:val="000000"/>
                <w:kern w:val="2"/>
                <w:sz w:val="20"/>
                <w:lang w:eastAsia="hi-IN" w:bidi="hi-IN"/>
              </w:rPr>
              <w:t>-</w:t>
            </w:r>
            <w:r w:rsidR="00921673">
              <w:rPr>
                <w:rFonts w:eastAsia="DejaVu Sans"/>
                <w:bCs/>
                <w:color w:val="000000"/>
                <w:kern w:val="2"/>
                <w:sz w:val="20"/>
                <w:lang w:eastAsia="hi-IN" w:bidi="hi-IN"/>
              </w:rPr>
              <w:t>nimas</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414FC5">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2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84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414FC5">
        <w:trPr>
          <w:cantSplit/>
          <w:trHeight w:val="20"/>
        </w:trPr>
        <w:tc>
          <w:tcPr>
            <w:tcW w:w="1276" w:type="dxa"/>
            <w:vMerge w:val="restart"/>
            <w:tcBorders>
              <w:top w:val="single" w:sz="4" w:space="0" w:color="auto"/>
              <w:left w:val="single" w:sz="4" w:space="0" w:color="auto"/>
              <w:right w:val="single" w:sz="4" w:space="0" w:color="auto"/>
            </w:tcBorders>
            <w:vAlign w:val="center"/>
          </w:tcPr>
          <w:p w:rsidR="00511AA1" w:rsidRDefault="00302A3E" w:rsidP="005A6FB4">
            <w:pPr>
              <w:jc w:val="center"/>
              <w:rPr>
                <w:rFonts w:eastAsia="DejaVu Sans"/>
                <w:bCs/>
                <w:kern w:val="2"/>
                <w:sz w:val="20"/>
                <w:lang w:eastAsia="hi-IN" w:bidi="hi-IN"/>
              </w:rPr>
            </w:pPr>
            <w:r>
              <w:rPr>
                <w:rFonts w:eastAsia="DejaVu Sans"/>
                <w:bCs/>
                <w:kern w:val="2"/>
                <w:sz w:val="20"/>
                <w:lang w:eastAsia="hi-IN" w:bidi="hi-IN"/>
              </w:rPr>
              <w:t>2020.</w:t>
            </w:r>
            <w:r w:rsidR="005A6FB4">
              <w:rPr>
                <w:rFonts w:eastAsia="DejaVu Sans"/>
                <w:bCs/>
                <w:kern w:val="2"/>
                <w:sz w:val="20"/>
                <w:lang w:eastAsia="hi-IN" w:bidi="hi-IN"/>
              </w:rPr>
              <w:t>08.27</w:t>
            </w:r>
          </w:p>
        </w:tc>
        <w:tc>
          <w:tcPr>
            <w:tcW w:w="829" w:type="dxa"/>
            <w:vMerge w:val="restart"/>
            <w:tcBorders>
              <w:top w:val="single" w:sz="4" w:space="0" w:color="auto"/>
              <w:left w:val="single" w:sz="4" w:space="0" w:color="auto"/>
              <w:right w:val="single" w:sz="4" w:space="0" w:color="auto"/>
            </w:tcBorders>
            <w:vAlign w:val="center"/>
          </w:tcPr>
          <w:p w:rsidR="00511AA1" w:rsidRDefault="005A6FB4" w:rsidP="005A6FB4">
            <w:pPr>
              <w:jc w:val="center"/>
              <w:rPr>
                <w:rFonts w:eastAsia="DejaVu Sans"/>
                <w:bCs/>
                <w:kern w:val="2"/>
                <w:sz w:val="20"/>
                <w:lang w:eastAsia="hi-IN" w:bidi="hi-IN"/>
              </w:rPr>
            </w:pPr>
            <w:r>
              <w:rPr>
                <w:rFonts w:eastAsia="DejaVu Sans"/>
                <w:bCs/>
                <w:kern w:val="2"/>
                <w:sz w:val="20"/>
                <w:lang w:eastAsia="hi-IN" w:bidi="hi-IN"/>
              </w:rPr>
              <w:t>14</w:t>
            </w:r>
            <w:r w:rsidR="00302A3E">
              <w:rPr>
                <w:rFonts w:eastAsia="DejaVu Sans"/>
                <w:bCs/>
                <w:kern w:val="2"/>
                <w:sz w:val="20"/>
                <w:lang w:eastAsia="hi-IN" w:bidi="hi-IN"/>
              </w:rPr>
              <w:t>:</w:t>
            </w:r>
            <w:r>
              <w:rPr>
                <w:rFonts w:eastAsia="DejaVu Sans"/>
                <w:bCs/>
                <w:kern w:val="2"/>
                <w:sz w:val="20"/>
                <w:lang w:eastAsia="hi-IN" w:bidi="hi-IN"/>
              </w:rPr>
              <w:t>00</w:t>
            </w:r>
          </w:p>
        </w:tc>
        <w:tc>
          <w:tcPr>
            <w:tcW w:w="83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5A6FB4">
            <w:pPr>
              <w:jc w:val="center"/>
              <w:rPr>
                <w:rFonts w:eastAsia="DejaVu Sans"/>
                <w:bCs/>
                <w:kern w:val="2"/>
                <w:sz w:val="20"/>
                <w:lang w:eastAsia="hi-IN" w:bidi="hi-IN"/>
              </w:rPr>
            </w:pPr>
            <w:r>
              <w:rPr>
                <w:rFonts w:eastAsia="DejaVu Sans"/>
                <w:bCs/>
                <w:kern w:val="2"/>
                <w:sz w:val="20"/>
                <w:lang w:eastAsia="hi-IN" w:bidi="hi-IN"/>
              </w:rPr>
              <w:t>24,8</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963998" w:rsidP="005A6FB4">
            <w:pPr>
              <w:jc w:val="center"/>
              <w:rPr>
                <w:rFonts w:eastAsia="DejaVu Sans"/>
                <w:bCs/>
                <w:kern w:val="2"/>
                <w:sz w:val="20"/>
                <w:lang w:eastAsia="hi-IN" w:bidi="hi-IN"/>
              </w:rPr>
            </w:pPr>
            <w:r>
              <w:rPr>
                <w:rFonts w:eastAsia="DejaVu Sans"/>
                <w:bCs/>
                <w:kern w:val="2"/>
                <w:sz w:val="20"/>
                <w:lang w:eastAsia="hi-IN" w:bidi="hi-IN"/>
              </w:rPr>
              <w:t>7</w:t>
            </w:r>
            <w:r w:rsidR="005A6FB4">
              <w:rPr>
                <w:rFonts w:eastAsia="DejaVu Sans"/>
                <w:bCs/>
                <w:kern w:val="2"/>
                <w:sz w:val="20"/>
                <w:lang w:eastAsia="hi-IN" w:bidi="hi-IN"/>
              </w:rPr>
              <w:t>,6</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701" w:type="dxa"/>
            <w:vMerge w:val="restart"/>
            <w:tcBorders>
              <w:top w:val="single" w:sz="4" w:space="0" w:color="auto"/>
              <w:left w:val="single" w:sz="4" w:space="0" w:color="auto"/>
              <w:right w:val="single" w:sz="4" w:space="0" w:color="auto"/>
            </w:tcBorders>
            <w:vAlign w:val="center"/>
          </w:tcPr>
          <w:p w:rsidR="00511AA1" w:rsidRDefault="007E27A4">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134"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w:t>
            </w:r>
            <w:r w:rsidR="00414FC5">
              <w:rPr>
                <w:rFonts w:eastAsia="DejaVu Sans"/>
                <w:bCs/>
                <w:kern w:val="2"/>
                <w:sz w:val="20"/>
                <w:lang w:eastAsia="hi-IN" w:bidi="hi-IN"/>
              </w:rPr>
              <w:t>-</w:t>
            </w:r>
            <w:r>
              <w:rPr>
                <w:rFonts w:eastAsia="DejaVu Sans"/>
                <w:bCs/>
                <w:kern w:val="2"/>
                <w:sz w:val="20"/>
                <w:lang w:eastAsia="hi-IN" w:bidi="hi-IN"/>
              </w:rPr>
              <w:t>metrija“</w:t>
            </w:r>
          </w:p>
        </w:tc>
        <w:tc>
          <w:tcPr>
            <w:tcW w:w="849" w:type="dxa"/>
            <w:vMerge w:val="restart"/>
            <w:tcBorders>
              <w:top w:val="single" w:sz="4" w:space="0" w:color="auto"/>
              <w:left w:val="single" w:sz="4" w:space="0" w:color="auto"/>
              <w:right w:val="single" w:sz="4" w:space="0" w:color="auto"/>
            </w:tcBorders>
            <w:vAlign w:val="center"/>
          </w:tcPr>
          <w:p w:rsidR="00511AA1" w:rsidRDefault="005A6FB4" w:rsidP="005A6FB4">
            <w:pPr>
              <w:jc w:val="center"/>
              <w:rPr>
                <w:rFonts w:eastAsia="DejaVu Sans"/>
                <w:bCs/>
                <w:kern w:val="2"/>
                <w:sz w:val="20"/>
                <w:lang w:eastAsia="hi-IN" w:bidi="hi-IN"/>
              </w:rPr>
            </w:pPr>
            <w:r>
              <w:rPr>
                <w:rFonts w:eastAsia="DejaVu Sans"/>
                <w:bCs/>
                <w:kern w:val="2"/>
                <w:sz w:val="20"/>
                <w:lang w:eastAsia="hi-IN" w:bidi="hi-IN"/>
              </w:rPr>
              <w:t>8192</w:t>
            </w:r>
          </w:p>
        </w:tc>
      </w:tr>
      <w:tr w:rsidR="00511AA1" w:rsidTr="00414FC5">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A6FB4" w:rsidP="00963998">
            <w:pPr>
              <w:jc w:val="center"/>
              <w:rPr>
                <w:rFonts w:eastAsia="DejaVu Sans"/>
                <w:bCs/>
                <w:kern w:val="2"/>
                <w:sz w:val="20"/>
                <w:lang w:eastAsia="hi-IN" w:bidi="hi-IN"/>
              </w:rPr>
            </w:pPr>
            <w:r>
              <w:rPr>
                <w:rFonts w:eastAsia="DejaVu Sans"/>
                <w:bCs/>
                <w:kern w:val="2"/>
                <w:sz w:val="20"/>
                <w:lang w:eastAsia="hi-IN" w:bidi="hi-IN"/>
              </w:rPr>
              <w:t>10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70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134"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4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414FC5">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A6FB4" w:rsidP="00E5276A">
            <w:pPr>
              <w:jc w:val="center"/>
              <w:rPr>
                <w:rFonts w:eastAsia="DejaVu Sans"/>
                <w:bCs/>
                <w:kern w:val="2"/>
                <w:sz w:val="20"/>
                <w:lang w:eastAsia="hi-IN" w:bidi="hi-IN"/>
              </w:rPr>
            </w:pPr>
            <w:r>
              <w:rPr>
                <w:rFonts w:eastAsia="DejaVu Sans"/>
                <w:bCs/>
                <w:kern w:val="2"/>
                <w:sz w:val="20"/>
                <w:lang w:eastAsia="hi-IN" w:bidi="hi-IN"/>
              </w:rPr>
              <w:t>6,12</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rsidP="00DB7B36">
            <w:pPr>
              <w:jc w:val="center"/>
              <w:rPr>
                <w:rFonts w:eastAsia="DejaVu Sans"/>
                <w:bCs/>
                <w:kern w:val="2"/>
                <w:sz w:val="20"/>
                <w:lang w:eastAsia="hi-IN" w:bidi="hi-IN"/>
              </w:rPr>
            </w:pPr>
            <w:r>
              <w:rPr>
                <w:rFonts w:eastAsia="DejaVu Sans"/>
                <w:bCs/>
                <w:kern w:val="2"/>
                <w:sz w:val="20"/>
                <w:lang w:eastAsia="hi-IN" w:bidi="hi-IN"/>
              </w:rPr>
              <w:t>LST EN 1899-</w:t>
            </w:r>
            <w:r w:rsidR="00DB7B36">
              <w:rPr>
                <w:rFonts w:eastAsia="DejaVu Sans"/>
                <w:bCs/>
                <w:kern w:val="2"/>
                <w:sz w:val="20"/>
                <w:lang w:eastAsia="hi-IN" w:bidi="hi-IN"/>
              </w:rPr>
              <w:t>2</w:t>
            </w:r>
            <w:r>
              <w:rPr>
                <w:rFonts w:eastAsia="DejaVu Sans"/>
                <w:bCs/>
                <w:kern w:val="2"/>
                <w:sz w:val="20"/>
                <w:lang w:eastAsia="hi-IN" w:bidi="hi-IN"/>
              </w:rPr>
              <w:t>:2000</w:t>
            </w:r>
          </w:p>
        </w:tc>
        <w:tc>
          <w:tcPr>
            <w:tcW w:w="170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134"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4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414FC5">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A6FB4">
            <w:pPr>
              <w:jc w:val="center"/>
              <w:rPr>
                <w:rFonts w:eastAsia="DejaVu Sans"/>
                <w:bCs/>
                <w:kern w:val="2"/>
                <w:sz w:val="20"/>
                <w:lang w:eastAsia="hi-IN" w:bidi="hi-IN"/>
              </w:rPr>
            </w:pPr>
            <w:r>
              <w:rPr>
                <w:rFonts w:eastAsia="DejaVu Sans"/>
                <w:bCs/>
                <w:kern w:val="2"/>
                <w:sz w:val="20"/>
                <w:lang w:eastAsia="hi-IN" w:bidi="hi-IN"/>
              </w:rPr>
              <w:t>44</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70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134"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4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414FC5">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5A6FB4">
            <w:pPr>
              <w:jc w:val="center"/>
              <w:rPr>
                <w:rFonts w:eastAsia="DejaVu Sans"/>
                <w:bCs/>
                <w:kern w:val="2"/>
                <w:sz w:val="20"/>
                <w:lang w:eastAsia="hi-IN" w:bidi="hi-IN"/>
              </w:rPr>
            </w:pPr>
            <w:r>
              <w:rPr>
                <w:rFonts w:eastAsia="DejaVu Sans"/>
                <w:bCs/>
                <w:kern w:val="2"/>
                <w:sz w:val="20"/>
                <w:lang w:eastAsia="hi-IN" w:bidi="hi-IN"/>
              </w:rPr>
              <w:t>4,6</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70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134"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4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414FC5">
        <w:trPr>
          <w:cantSplit/>
          <w:trHeight w:val="20"/>
        </w:trPr>
        <w:tc>
          <w:tcPr>
            <w:tcW w:w="1276"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CB1363">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701"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134"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49"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bl>
    <w:p w:rsidR="00921673" w:rsidRPr="003722C1" w:rsidRDefault="00921673" w:rsidP="00921673">
      <w:pPr>
        <w:widowControl w:val="0"/>
        <w:suppressAutoHyphens/>
        <w:rPr>
          <w:rFonts w:eastAsia="DejaVu Sans"/>
          <w:kern w:val="2"/>
          <w:sz w:val="18"/>
          <w:szCs w:val="18"/>
        </w:rPr>
      </w:pPr>
      <w:r w:rsidRPr="003722C1">
        <w:rPr>
          <w:rFonts w:eastAsia="DejaVu Sans"/>
          <w:kern w:val="2"/>
          <w:sz w:val="18"/>
          <w:szCs w:val="18"/>
        </w:rPr>
        <w:t xml:space="preserve">Pastabos: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4"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6"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7"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414FC5" w:rsidRDefault="00414FC5" w:rsidP="00921673">
      <w:pPr>
        <w:widowControl w:val="0"/>
        <w:suppressAutoHyphens/>
        <w:rPr>
          <w:rFonts w:eastAsia="MS Mincho"/>
          <w:i/>
          <w:iCs/>
          <w:sz w:val="20"/>
        </w:rPr>
      </w:pPr>
    </w:p>
    <w:p w:rsidR="00414FC5" w:rsidRDefault="00414FC5" w:rsidP="00921673">
      <w:pPr>
        <w:widowControl w:val="0"/>
        <w:suppressAutoHyphens/>
        <w:rPr>
          <w:rFonts w:eastAsia="MS Mincho"/>
          <w:i/>
          <w:iCs/>
          <w:sz w:val="20"/>
        </w:rPr>
      </w:pPr>
    </w:p>
    <w:p w:rsidR="00414FC5" w:rsidRDefault="00414FC5" w:rsidP="00921673">
      <w:pPr>
        <w:widowControl w:val="0"/>
        <w:suppressAutoHyphens/>
        <w:rPr>
          <w:rFonts w:eastAsia="MS Mincho"/>
          <w:i/>
          <w:iCs/>
          <w:sz w:val="20"/>
        </w:rPr>
      </w:pPr>
    </w:p>
    <w:p w:rsidR="00414FC5" w:rsidRDefault="00414FC5" w:rsidP="00921673">
      <w:pPr>
        <w:widowControl w:val="0"/>
        <w:suppressAutoHyphens/>
        <w:rPr>
          <w:rFonts w:eastAsia="MS Mincho"/>
          <w:i/>
          <w:iCs/>
          <w:sz w:val="20"/>
        </w:rPr>
      </w:pPr>
    </w:p>
    <w:p w:rsidR="003722C1" w:rsidRDefault="003722C1" w:rsidP="00921673">
      <w:pPr>
        <w:widowControl w:val="0"/>
        <w:suppressAutoHyphens/>
        <w:rPr>
          <w:rFonts w:eastAsia="MS Mincho"/>
          <w:i/>
          <w:iCs/>
          <w:sz w:val="20"/>
        </w:rPr>
      </w:pPr>
    </w:p>
    <w:p w:rsidR="00414FC5" w:rsidRDefault="00414FC5" w:rsidP="00921673">
      <w:pPr>
        <w:widowControl w:val="0"/>
        <w:suppressAutoHyphens/>
        <w:rPr>
          <w:rFonts w:eastAsia="DejaVu Sans"/>
          <w:b/>
          <w:color w:val="000000"/>
          <w:kern w:val="2"/>
        </w:rPr>
      </w:pPr>
    </w:p>
    <w:p w:rsidR="00414FC5" w:rsidRDefault="00414FC5" w:rsidP="00921673">
      <w:pPr>
        <w:widowControl w:val="0"/>
        <w:suppressAutoHyphens/>
        <w:rPr>
          <w:rFonts w:eastAsia="DejaVu Sans"/>
          <w:b/>
          <w:color w:val="000000"/>
          <w:kern w:val="2"/>
        </w:rPr>
      </w:pPr>
    </w:p>
    <w:p w:rsidR="009D4FC8" w:rsidRPr="00FB510A" w:rsidRDefault="00F02475" w:rsidP="00921673">
      <w:pPr>
        <w:widowControl w:val="0"/>
        <w:suppressAutoHyphens/>
        <w:rPr>
          <w:rFonts w:eastAsia="DejaVu Sans"/>
          <w:color w:val="000000"/>
          <w:kern w:val="2"/>
        </w:rPr>
      </w:pPr>
      <w:r w:rsidRPr="00FB510A">
        <w:rPr>
          <w:rFonts w:eastAsia="DejaVu Sans"/>
          <w:b/>
          <w:color w:val="000000"/>
          <w:kern w:val="2"/>
        </w:rPr>
        <w:t>Išvada:</w:t>
      </w:r>
      <w:r>
        <w:rPr>
          <w:rFonts w:eastAsia="DejaVu Sans"/>
          <w:color w:val="000000"/>
          <w:kern w:val="2"/>
        </w:rPr>
        <w:t xml:space="preserve"> </w:t>
      </w:r>
      <w:r w:rsidR="002C0EE2">
        <w:rPr>
          <w:szCs w:val="24"/>
          <w:lang w:eastAsia="lt-LT"/>
        </w:rPr>
        <w:t>Anykščių</w:t>
      </w:r>
      <w:r w:rsidR="008C4890">
        <w:rPr>
          <w:szCs w:val="24"/>
          <w:lang w:eastAsia="lt-LT"/>
        </w:rPr>
        <w:t xml:space="preserve"> atliek</w:t>
      </w:r>
      <w:r w:rsidR="006520A4">
        <w:rPr>
          <w:szCs w:val="24"/>
          <w:lang w:eastAsia="lt-LT"/>
        </w:rPr>
        <w:t>ų priėmimo ir laikino saugojimo</w:t>
      </w:r>
      <w:r w:rsidRPr="00FB510A">
        <w:rPr>
          <w:szCs w:val="24"/>
          <w:lang w:eastAsia="lt-LT"/>
        </w:rPr>
        <w:t xml:space="preserve"> aikštelė</w:t>
      </w:r>
      <w:r w:rsidR="001E353B" w:rsidRPr="00FB510A">
        <w:rPr>
          <w:szCs w:val="24"/>
          <w:lang w:eastAsia="lt-LT"/>
        </w:rPr>
        <w:t>je</w:t>
      </w:r>
      <w:r w:rsidR="006520A4">
        <w:rPr>
          <w:szCs w:val="24"/>
          <w:lang w:eastAsia="lt-LT"/>
        </w:rPr>
        <w:t xml:space="preserve"> (</w:t>
      </w:r>
      <w:r w:rsidR="002C0EE2">
        <w:rPr>
          <w:szCs w:val="24"/>
          <w:lang w:eastAsia="lt-LT"/>
        </w:rPr>
        <w:t>Vairuotojų g.18, Anykščiai</w:t>
      </w:r>
      <w:r w:rsidR="006520A4">
        <w:rPr>
          <w:szCs w:val="24"/>
          <w:lang w:eastAsia="lt-LT"/>
        </w:rPr>
        <w:t>)</w:t>
      </w:r>
      <w:r w:rsidR="001E353B" w:rsidRPr="00FB510A">
        <w:rPr>
          <w:szCs w:val="24"/>
          <w:lang w:eastAsia="lt-LT"/>
        </w:rPr>
        <w:t xml:space="preserve"> </w:t>
      </w:r>
      <w:r w:rsidR="00FB510A" w:rsidRPr="00FB510A">
        <w:rPr>
          <w:szCs w:val="24"/>
          <w:lang w:eastAsia="lt-LT"/>
        </w:rPr>
        <w:t xml:space="preserve">paviršinių (lietaus) nuotekų teršalų koncentracijos </w:t>
      </w:r>
      <w:r w:rsidR="00131FFF">
        <w:rPr>
          <w:rFonts w:eastAsia="DejaVu Sans"/>
          <w:color w:val="000000"/>
          <w:kern w:val="2"/>
        </w:rPr>
        <w:t>20</w:t>
      </w:r>
      <w:r w:rsidR="00302A3E">
        <w:rPr>
          <w:rFonts w:eastAsia="DejaVu Sans"/>
          <w:color w:val="000000"/>
          <w:kern w:val="2"/>
        </w:rPr>
        <w:t>20</w:t>
      </w:r>
      <w:r w:rsidR="00131FFF">
        <w:rPr>
          <w:rFonts w:eastAsia="DejaVu Sans"/>
          <w:color w:val="000000"/>
          <w:kern w:val="2"/>
        </w:rPr>
        <w:t xml:space="preserve"> metų </w:t>
      </w:r>
      <w:r w:rsidR="00E47AF6">
        <w:rPr>
          <w:rFonts w:eastAsia="DejaVu Sans"/>
          <w:color w:val="000000"/>
          <w:kern w:val="2"/>
        </w:rPr>
        <w:t>trečiajame</w:t>
      </w:r>
      <w:bookmarkStart w:id="0" w:name="_GoBack"/>
      <w:bookmarkEnd w:id="0"/>
      <w:r w:rsidR="00DB3858">
        <w:rPr>
          <w:rFonts w:eastAsia="DejaVu Sans"/>
          <w:color w:val="000000"/>
          <w:kern w:val="2"/>
        </w:rPr>
        <w:t xml:space="preserve"> </w:t>
      </w:r>
      <w:r w:rsidR="00131FFF">
        <w:rPr>
          <w:rFonts w:eastAsia="DejaVu Sans"/>
          <w:color w:val="000000"/>
          <w:kern w:val="2"/>
        </w:rPr>
        <w:t xml:space="preserve">ketvirtyje </w:t>
      </w:r>
      <w:r w:rsidR="00FB510A" w:rsidRPr="00FB510A">
        <w:rPr>
          <w:szCs w:val="24"/>
          <w:lang w:eastAsia="lt-LT"/>
        </w:rPr>
        <w:t xml:space="preserve">neviršijo Paviršinių nuotekų tvarkymo reglamente nurodytų ribinių </w:t>
      </w:r>
      <w:r w:rsidR="00FA15A9">
        <w:rPr>
          <w:szCs w:val="24"/>
          <w:lang w:eastAsia="lt-LT"/>
        </w:rPr>
        <w:t>verčių</w:t>
      </w:r>
      <w:r w:rsidR="00FB510A" w:rsidRPr="00FB510A">
        <w:rPr>
          <w:szCs w:val="24"/>
          <w:lang w:eastAsia="lt-LT"/>
        </w:rPr>
        <w:t>.</w:t>
      </w: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302A3E">
        <w:rPr>
          <w:rFonts w:eastAsia="DejaVu Sans"/>
          <w:color w:val="000000"/>
          <w:kern w:val="2"/>
          <w:u w:val="single"/>
        </w:rPr>
        <w:t>dir. pavaduotojas</w:t>
      </w:r>
      <w:r w:rsidR="009D4FC8" w:rsidRPr="009D4FC8">
        <w:rPr>
          <w:rFonts w:eastAsia="DejaVu Sans"/>
          <w:color w:val="000000"/>
          <w:kern w:val="2"/>
          <w:u w:val="single"/>
        </w:rPr>
        <w:t xml:space="preserve">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Pr="005E0E1A" w:rsidRDefault="00C53C12" w:rsidP="005E0E1A">
      <w:pPr>
        <w:widowControl w:val="0"/>
        <w:suppressAutoHyphens/>
        <w:jc w:val="center"/>
        <w:sectPr w:rsidR="00921673" w:rsidRPr="005E0E1A" w:rsidSect="006F4245">
          <w:pgSz w:w="16837" w:h="11905" w:orient="landscape"/>
          <w:pgMar w:top="567" w:right="1134" w:bottom="312" w:left="1134" w:header="567" w:footer="567" w:gutter="0"/>
          <w:cols w:space="720"/>
        </w:sectPr>
      </w:pPr>
      <w:r>
        <w:rPr>
          <w:rFonts w:eastAsia="DejaVu Sans"/>
          <w:kern w:val="2"/>
        </w:rPr>
        <w:t>______________</w:t>
      </w:r>
    </w:p>
    <w:p w:rsidR="002637B3" w:rsidRDefault="002637B3" w:rsidP="005E0E1A"/>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131FFF"/>
    <w:rsid w:val="001B241A"/>
    <w:rsid w:val="001E353B"/>
    <w:rsid w:val="0022383E"/>
    <w:rsid w:val="002637B3"/>
    <w:rsid w:val="002A7821"/>
    <w:rsid w:val="002C0EE2"/>
    <w:rsid w:val="00302A3E"/>
    <w:rsid w:val="003329DB"/>
    <w:rsid w:val="003525AB"/>
    <w:rsid w:val="003722C1"/>
    <w:rsid w:val="00414FC5"/>
    <w:rsid w:val="004536DC"/>
    <w:rsid w:val="00511AA1"/>
    <w:rsid w:val="005A6FB4"/>
    <w:rsid w:val="005E0E1A"/>
    <w:rsid w:val="006520A4"/>
    <w:rsid w:val="00663F05"/>
    <w:rsid w:val="00670601"/>
    <w:rsid w:val="006F4245"/>
    <w:rsid w:val="00721346"/>
    <w:rsid w:val="00762D5E"/>
    <w:rsid w:val="007E27A4"/>
    <w:rsid w:val="00853F0E"/>
    <w:rsid w:val="008C4890"/>
    <w:rsid w:val="00905002"/>
    <w:rsid w:val="00921673"/>
    <w:rsid w:val="00963998"/>
    <w:rsid w:val="009D4FC8"/>
    <w:rsid w:val="00A94817"/>
    <w:rsid w:val="00AD50CD"/>
    <w:rsid w:val="00B568A2"/>
    <w:rsid w:val="00B5718B"/>
    <w:rsid w:val="00B84DDA"/>
    <w:rsid w:val="00B90621"/>
    <w:rsid w:val="00BC449E"/>
    <w:rsid w:val="00BC6215"/>
    <w:rsid w:val="00C05DC4"/>
    <w:rsid w:val="00C2423C"/>
    <w:rsid w:val="00C53C12"/>
    <w:rsid w:val="00C621E7"/>
    <w:rsid w:val="00CB1363"/>
    <w:rsid w:val="00CF7DEA"/>
    <w:rsid w:val="00DB3858"/>
    <w:rsid w:val="00DB7B36"/>
    <w:rsid w:val="00DE4CD8"/>
    <w:rsid w:val="00E02395"/>
    <w:rsid w:val="00E1153E"/>
    <w:rsid w:val="00E34A86"/>
    <w:rsid w:val="00E364CB"/>
    <w:rsid w:val="00E47AF6"/>
    <w:rsid w:val="00E5276A"/>
    <w:rsid w:val="00EE3D5D"/>
    <w:rsid w:val="00F02475"/>
    <w:rsid w:val="00F22C20"/>
    <w:rsid w:val="00F234CD"/>
    <w:rsid w:val="00F2418E"/>
    <w:rsid w:val="00F663E2"/>
    <w:rsid w:val="00FA15A9"/>
    <w:rsid w:val="00FB510A"/>
    <w:rsid w:val="00F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86A8"/>
  <w15:docId w15:val="{BADF933F-FD38-47A9-BA53-70426CD7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FA6A047B2D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344BF16AC4D" TargetMode="External"/><Relationship Id="rId5" Type="http://schemas.openxmlformats.org/officeDocument/2006/relationships/hyperlink" Target="https://www.e-tar.lt/portal/lt/legalAct/TAR.F369BE5465B2" TargetMode="External"/><Relationship Id="rId4" Type="http://schemas.openxmlformats.org/officeDocument/2006/relationships/hyperlink" Target="https://www.e-tar.lt/portal/lt/legalAct/TAR.CCD0C187ED2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16</cp:revision>
  <cp:lastPrinted>2018-04-11T08:23:00Z</cp:lastPrinted>
  <dcterms:created xsi:type="dcterms:W3CDTF">2017-10-19T08:37:00Z</dcterms:created>
  <dcterms:modified xsi:type="dcterms:W3CDTF">2020-09-04T10:12:00Z</dcterms:modified>
</cp:coreProperties>
</file>